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534DE" w14:textId="52B2823F" w:rsidR="00C854EE" w:rsidRDefault="00E42C4E">
      <w:pPr>
        <w:pBdr>
          <w:top w:val="nil"/>
          <w:left w:val="nil"/>
          <w:bottom w:val="nil"/>
          <w:right w:val="nil"/>
          <w:between w:val="nil"/>
        </w:pBdr>
        <w:spacing w:before="280" w:after="280"/>
        <w:rPr>
          <w:sz w:val="48"/>
          <w:szCs w:val="48"/>
        </w:rPr>
        <w:sectPr w:rsidR="00C854EE" w:rsidSect="0036553C">
          <w:footerReference w:type="default" r:id="rId7"/>
          <w:pgSz w:w="12240" w:h="15840"/>
          <w:pgMar w:top="1080" w:right="878" w:bottom="1440" w:left="878" w:header="0" w:footer="720" w:gutter="0"/>
          <w:pgNumType w:start="1"/>
          <w:cols w:space="720" w:equalWidth="0">
            <w:col w:w="9362"/>
          </w:cols>
          <w:titlePg/>
          <w:docGrid w:linePitch="272"/>
        </w:sectPr>
      </w:pPr>
      <w:r>
        <w:rPr>
          <w:sz w:val="48"/>
          <w:szCs w:val="48"/>
        </w:rPr>
        <w:t>Using Microfluidic Devices to Model and Investigate Leaky Gut Syndrome</w:t>
      </w:r>
      <w:r>
        <w:rPr>
          <w:sz w:val="18"/>
          <w:szCs w:val="18"/>
        </w:rPr>
        <w:br/>
      </w:r>
      <w:r>
        <w:rPr>
          <w:sz w:val="18"/>
          <w:szCs w:val="18"/>
        </w:rPr>
        <w:br/>
      </w:r>
      <w:r>
        <w:rPr>
          <w:b/>
          <w:sz w:val="18"/>
          <w:szCs w:val="18"/>
          <w:u w:val="single"/>
        </w:rPr>
        <w:t>Jasmine Baste</w:t>
      </w:r>
      <w:r>
        <w:rPr>
          <w:sz w:val="18"/>
          <w:szCs w:val="18"/>
        </w:rPr>
        <w:t xml:space="preserve">, </w:t>
      </w:r>
      <w:proofErr w:type="spellStart"/>
      <w:r>
        <w:rPr>
          <w:sz w:val="18"/>
          <w:szCs w:val="18"/>
        </w:rPr>
        <w:t>Chengyao</w:t>
      </w:r>
      <w:proofErr w:type="spellEnd"/>
      <w:r>
        <w:rPr>
          <w:sz w:val="18"/>
          <w:szCs w:val="18"/>
        </w:rPr>
        <w:t xml:space="preserve"> </w:t>
      </w:r>
      <w:r w:rsidR="0036553C">
        <w:rPr>
          <w:sz w:val="18"/>
          <w:szCs w:val="18"/>
        </w:rPr>
        <w:t>Wang, *</w:t>
      </w:r>
      <w:r>
        <w:rPr>
          <w:sz w:val="18"/>
          <w:szCs w:val="18"/>
        </w:rPr>
        <w:t>Abhinav Bhushan</w:t>
      </w:r>
      <w:r>
        <w:rPr>
          <w:sz w:val="18"/>
          <w:szCs w:val="18"/>
        </w:rPr>
        <w:br/>
      </w:r>
      <w:r>
        <w:rPr>
          <w:sz w:val="18"/>
          <w:szCs w:val="18"/>
        </w:rPr>
        <w:t xml:space="preserve">a: Biomedical Engineering, Illinois Institute of Technology, Chicago, IL, 60616 </w:t>
      </w:r>
      <w:r>
        <w:rPr>
          <w:sz w:val="18"/>
          <w:szCs w:val="18"/>
        </w:rPr>
        <w:br/>
      </w:r>
      <w:r w:rsidRPr="0036553C">
        <w:rPr>
          <w:i/>
          <w:color w:val="000000" w:themeColor="text1"/>
          <w:sz w:val="18"/>
          <w:szCs w:val="18"/>
        </w:rPr>
        <w:t>jbaste@hawk.iit.edu</w:t>
      </w:r>
      <w:r>
        <w:rPr>
          <w:sz w:val="18"/>
          <w:szCs w:val="18"/>
        </w:rPr>
        <w:br/>
      </w:r>
      <w:r w:rsidRPr="0036553C">
        <w:rPr>
          <w:color w:val="000000" w:themeColor="text1"/>
          <w:sz w:val="18"/>
          <w:szCs w:val="18"/>
        </w:rPr>
        <w:t>abhushan@iit.edu</w:t>
      </w:r>
      <w:r w:rsidRPr="0036553C">
        <w:rPr>
          <w:color w:val="000000" w:themeColor="text1"/>
          <w:sz w:val="18"/>
          <w:szCs w:val="18"/>
        </w:rPr>
        <w:t xml:space="preserve"> </w:t>
      </w:r>
    </w:p>
    <w:p w14:paraId="65A9D980" w14:textId="01E433E2" w:rsidR="00C854EE" w:rsidRDefault="0036553C">
      <w:pPr>
        <w:pBdr>
          <w:top w:val="nil"/>
          <w:left w:val="nil"/>
          <w:bottom w:val="nil"/>
          <w:right w:val="nil"/>
          <w:between w:val="nil"/>
        </w:pBdr>
        <w:spacing w:after="200"/>
        <w:ind w:firstLine="260"/>
        <w:jc w:val="both"/>
        <w:rPr>
          <w:b/>
          <w:sz w:val="18"/>
          <w:szCs w:val="18"/>
        </w:rPr>
      </w:pPr>
      <w:r w:rsidRPr="0036553C">
        <w:rPr>
          <w:b/>
          <w:i/>
          <w:iCs/>
          <w:sz w:val="18"/>
          <w:szCs w:val="18"/>
        </w:rPr>
        <w:t>Abstract</w:t>
      </w:r>
      <w:r>
        <w:rPr>
          <w:b/>
          <w:sz w:val="18"/>
          <w:szCs w:val="18"/>
        </w:rPr>
        <w:t>-</w:t>
      </w:r>
      <w:r w:rsidR="00E42C4E">
        <w:rPr>
          <w:b/>
          <w:sz w:val="18"/>
          <w:szCs w:val="18"/>
        </w:rPr>
        <w:t>Leaky Gut Syndrome develops when the permeability of the intestine increases allowing bacteria and toxins to leak into the bloodstream. Current methods used to investigate leaky gut are insufficient because they do not properly model the intestinal environ</w:t>
      </w:r>
      <w:r w:rsidR="00E42C4E">
        <w:rPr>
          <w:b/>
          <w:sz w:val="18"/>
          <w:szCs w:val="18"/>
        </w:rPr>
        <w:t>ment.   Conversely, microfluidic devices are incredibly useful because the cells function better, the devices enable more efficient co-culture with other cells and bacteria, and only a small number of cells are required to obtain the results over tradition</w:t>
      </w:r>
      <w:r w:rsidR="00E42C4E">
        <w:rPr>
          <w:b/>
          <w:sz w:val="18"/>
          <w:szCs w:val="18"/>
        </w:rPr>
        <w:t xml:space="preserve">al cultures.  Preliminary experiments to create the leaky gut environment included culturing Caco-2 cells in two-chamber PDMS microfluidic devices until differentiation; gene expression was higher in the microfluidic devices than in the </w:t>
      </w:r>
      <w:proofErr w:type="spellStart"/>
      <w:r w:rsidR="00E42C4E">
        <w:rPr>
          <w:b/>
          <w:sz w:val="18"/>
          <w:szCs w:val="18"/>
        </w:rPr>
        <w:t>Transwell</w:t>
      </w:r>
      <w:proofErr w:type="spellEnd"/>
      <w:r w:rsidR="00E42C4E">
        <w:rPr>
          <w:b/>
          <w:sz w:val="18"/>
          <w:szCs w:val="18"/>
        </w:rPr>
        <w:t xml:space="preserve"> plate. In</w:t>
      </w:r>
      <w:r w:rsidR="00E42C4E">
        <w:rPr>
          <w:b/>
          <w:sz w:val="18"/>
          <w:szCs w:val="18"/>
        </w:rPr>
        <w:t xml:space="preserve"> order to model the leaky gut, the cells were treated with alcohol and tested for epithelial integrity breakdown through permeability.  The cells treated with the 5% alcohol had a significant increase in permeability, effectively modeling leaky gut ex vivo</w:t>
      </w:r>
      <w:r w:rsidR="00E42C4E">
        <w:rPr>
          <w:b/>
          <w:sz w:val="18"/>
          <w:szCs w:val="18"/>
        </w:rPr>
        <w:t>. Moving forward, different therapeutic molecules will be tested to determine whether the leaky gut can be restored to a normal state.  The research done here can be applied to intestinal bowel disorders and other dysfunctions in the body to better the hea</w:t>
      </w:r>
      <w:r w:rsidR="00E42C4E">
        <w:rPr>
          <w:b/>
          <w:sz w:val="18"/>
          <w:szCs w:val="18"/>
        </w:rPr>
        <w:t xml:space="preserve">lth field.  </w:t>
      </w:r>
    </w:p>
    <w:p w14:paraId="4009EDD3" w14:textId="77777777" w:rsidR="00C854EE" w:rsidRDefault="00E42C4E">
      <w:pPr>
        <w:pStyle w:val="Heading1"/>
        <w:numPr>
          <w:ilvl w:val="0"/>
          <w:numId w:val="1"/>
        </w:numPr>
        <w:ind w:firstLine="0"/>
        <w:jc w:val="left"/>
      </w:pPr>
      <w:r>
        <w:t xml:space="preserve">Introduction </w:t>
      </w:r>
    </w:p>
    <w:p w14:paraId="57F587D3" w14:textId="77777777" w:rsidR="00C854EE" w:rsidRDefault="00E42C4E">
      <w:pPr>
        <w:pBdr>
          <w:top w:val="nil"/>
          <w:left w:val="nil"/>
          <w:bottom w:val="nil"/>
          <w:right w:val="nil"/>
          <w:between w:val="nil"/>
        </w:pBdr>
        <w:tabs>
          <w:tab w:val="left" w:pos="280"/>
        </w:tabs>
        <w:spacing w:after="120"/>
        <w:jc w:val="both"/>
      </w:pPr>
      <w:r>
        <w:t>When the intestine has increased permeability or Leaky Gut Syndrome, bacteria and toxins can leak through the intestine. Leaky gut is problematic because the gut is supposed to prevent bacteria, undigested food, and harmful chemi</w:t>
      </w:r>
      <w:r>
        <w:t>cals from entering the blood</w:t>
      </w:r>
      <w:r>
        <w:rPr>
          <w:vertAlign w:val="superscript"/>
        </w:rPr>
        <w:t>1</w:t>
      </w:r>
      <w:r>
        <w:t>. Unfortunately, leaky gut is a major problem in intestinal bowel disorders and other dysfunctions in the body. The purpose of these experiments is to mimic the environment of Leaky Gut Syndrome and test to see if the leaky gut</w:t>
      </w:r>
      <w:r>
        <w:t xml:space="preserve"> can be reversed to make advances in health.</w:t>
      </w:r>
    </w:p>
    <w:p w14:paraId="01689122" w14:textId="77777777" w:rsidR="00C854EE" w:rsidRDefault="00E42C4E">
      <w:pPr>
        <w:pStyle w:val="Heading1"/>
        <w:numPr>
          <w:ilvl w:val="0"/>
          <w:numId w:val="1"/>
        </w:numPr>
        <w:ind w:firstLine="0"/>
        <w:jc w:val="left"/>
      </w:pPr>
      <w:r>
        <w:t>Method</w:t>
      </w:r>
    </w:p>
    <w:p w14:paraId="239472E9" w14:textId="77777777" w:rsidR="00C854EE" w:rsidRDefault="00E42C4E">
      <w:pPr>
        <w:pBdr>
          <w:top w:val="nil"/>
          <w:left w:val="nil"/>
          <w:bottom w:val="nil"/>
          <w:right w:val="nil"/>
          <w:between w:val="nil"/>
        </w:pBdr>
        <w:tabs>
          <w:tab w:val="left" w:pos="280"/>
        </w:tabs>
        <w:spacing w:after="120"/>
        <w:jc w:val="both"/>
      </w:pPr>
      <w:r>
        <w:rPr>
          <w:b/>
        </w:rPr>
        <w:t>To test the cell differentiation of gut cells in microfluidic devices</w:t>
      </w:r>
      <w:r>
        <w:t>: Caco-2 cells were cultured into microfluidic polydimethylsiloxane (PDMS) devices</w:t>
      </w:r>
      <w:r>
        <w:rPr>
          <w:b/>
        </w:rPr>
        <w:t xml:space="preserve"> </w:t>
      </w:r>
      <w:r>
        <w:t xml:space="preserve">and </w:t>
      </w:r>
      <w:proofErr w:type="spellStart"/>
      <w:r>
        <w:t>Transwell</w:t>
      </w:r>
      <w:proofErr w:type="spellEnd"/>
      <w:r>
        <w:t xml:space="preserve"> plates and allowed to differentiate fo</w:t>
      </w:r>
      <w:r>
        <w:t xml:space="preserve">r three weeks.  After 1, 2, and 3 weeks the plate samples were stained using tight junction antibody ZO-1 for imaging and were used for qPCR analysis. </w:t>
      </w:r>
    </w:p>
    <w:p w14:paraId="110918E9" w14:textId="77777777" w:rsidR="00C854EE" w:rsidRDefault="00E42C4E">
      <w:pPr>
        <w:tabs>
          <w:tab w:val="left" w:pos="280"/>
        </w:tabs>
        <w:spacing w:after="120"/>
        <w:jc w:val="both"/>
      </w:pPr>
      <w:r>
        <w:rPr>
          <w:b/>
        </w:rPr>
        <w:t xml:space="preserve">To determine proper % alcohol in order to model leaky gut: </w:t>
      </w:r>
      <w:r>
        <w:t>Prior to building a leaky gut model, we first</w:t>
      </w:r>
      <w:r>
        <w:t xml:space="preserve"> determined the alcohol concentration that causes the Caco-2 cells monolayer to break down and increase the permeability of lucifer yellow molecules from the apical chamber of 48-Transwell insert to the bottom chamber. According to previous studies</w:t>
      </w:r>
      <w:r>
        <w:rPr>
          <w:vertAlign w:val="superscript"/>
        </w:rPr>
        <w:t>3</w:t>
      </w:r>
      <w:r>
        <w:t>, 5% al</w:t>
      </w:r>
      <w:r>
        <w:t xml:space="preserve">cohol-treated cells for 60 min remained high viability of Caco-2 cells </w:t>
      </w:r>
      <w:r>
        <w:t>that were similar to the viability of the cells without treatment and caused the lowest transepithelial electrical resistance (TEER). According to this, we used different concentrations</w:t>
      </w:r>
      <w:r>
        <w:t xml:space="preserve"> of alcohol: 0, 2.5, 5, 7.5, and 10 % to treat Caco-2 cells for 60 min. Then we tested the lucifer yellow transportation by adding 200 </w:t>
      </w:r>
      <w:proofErr w:type="spellStart"/>
      <w:r>
        <w:t>μL</w:t>
      </w:r>
      <w:proofErr w:type="spellEnd"/>
      <w:r>
        <w:t xml:space="preserve"> 5 mg/ml lucifer yellow in the top chamber, and 600 </w:t>
      </w:r>
      <w:proofErr w:type="spellStart"/>
      <w:r>
        <w:t>μL</w:t>
      </w:r>
      <w:proofErr w:type="spellEnd"/>
      <w:r>
        <w:t xml:space="preserve"> blank buffer in the bottom chamber, incubated for 60 min in the </w:t>
      </w:r>
      <w:r>
        <w:t xml:space="preserve">cell culture incubator. We collected the solution in the bottom chambers and measured the fluorescence of the collected solution using a plate reader. The fluorescence of blank buffer and 5 mg/ml lucifer yellow solution were measured as well. Then we used </w:t>
      </w:r>
      <w:r>
        <w:t xml:space="preserve">the numbers obtained from the plate reader to calculate the % of Relative Permeability using </w:t>
      </w:r>
      <w:r>
        <w:rPr>
          <w:i/>
        </w:rPr>
        <w:t>Equation 1</w:t>
      </w:r>
      <w:r>
        <w:rPr>
          <w:i/>
          <w:vertAlign w:val="superscript"/>
        </w:rPr>
        <w:t>3</w:t>
      </w:r>
      <w:r>
        <w:rPr>
          <w:i/>
        </w:rPr>
        <w:t xml:space="preserve">: </w:t>
      </w:r>
      <w:r>
        <w:t xml:space="preserve"> </w:t>
      </w:r>
    </w:p>
    <w:p w14:paraId="250D4D78" w14:textId="77777777" w:rsidR="00C854EE" w:rsidRDefault="00C854EE">
      <w:pPr>
        <w:tabs>
          <w:tab w:val="left" w:pos="280"/>
        </w:tabs>
        <w:spacing w:after="120"/>
        <w:jc w:val="both"/>
      </w:pPr>
    </w:p>
    <w:p w14:paraId="0A61B3E0" w14:textId="77777777" w:rsidR="00C854EE" w:rsidRDefault="00E42C4E">
      <w:pPr>
        <w:tabs>
          <w:tab w:val="left" w:pos="280"/>
        </w:tabs>
        <w:spacing w:after="120"/>
        <w:jc w:val="both"/>
      </w:pPr>
      <m:oMath>
        <m:r>
          <w:rPr>
            <w:rFonts w:ascii="Cambria Math" w:hAnsi="Cambria Math"/>
          </w:rPr>
          <m:t>Relative</m:t>
        </m:r>
        <m:r>
          <w:rPr>
            <w:rFonts w:ascii="Cambria Math" w:hAnsi="Cambria Math"/>
          </w:rPr>
          <m:t xml:space="preserve"> </m:t>
        </m:r>
        <m:r>
          <w:rPr>
            <w:rFonts w:ascii="Cambria Math" w:hAnsi="Cambria Math"/>
          </w:rPr>
          <m:t>Permeability</m:t>
        </m:r>
        <m:r>
          <w:rPr>
            <w:rFonts w:ascii="Cambria Math" w:hAnsi="Cambria Math"/>
          </w:rPr>
          <m:t xml:space="preserve"> (%) =</m:t>
        </m:r>
        <m:f>
          <m:fPr>
            <m:ctrlPr>
              <w:rPr>
                <w:rFonts w:ascii="Cambria Math" w:hAnsi="Cambria Math"/>
              </w:rPr>
            </m:ctrlPr>
          </m:fPr>
          <m:num>
            <m:r>
              <w:rPr>
                <w:rFonts w:ascii="Cambria Math" w:hAnsi="Cambria Math"/>
              </w:rPr>
              <m:t>Sample</m:t>
            </m:r>
            <m:r>
              <w:rPr>
                <w:rFonts w:ascii="Cambria Math" w:hAnsi="Cambria Math"/>
              </w:rPr>
              <m:t xml:space="preserve"> - </m:t>
            </m:r>
            <m:r>
              <w:rPr>
                <w:rFonts w:ascii="Cambria Math" w:hAnsi="Cambria Math"/>
              </w:rPr>
              <m:t>Blank</m:t>
            </m:r>
          </m:num>
          <m:den>
            <m:r>
              <w:rPr>
                <w:rFonts w:ascii="Cambria Math" w:hAnsi="Cambria Math"/>
              </w:rPr>
              <m:t>Lucifer</m:t>
            </m:r>
            <m:r>
              <w:rPr>
                <w:rFonts w:ascii="Cambria Math" w:hAnsi="Cambria Math"/>
              </w:rPr>
              <m:t xml:space="preserve"> </m:t>
            </m:r>
            <m:r>
              <w:rPr>
                <w:rFonts w:ascii="Cambria Math" w:hAnsi="Cambria Math"/>
              </w:rPr>
              <m:t>Yellow</m:t>
            </m:r>
            <m:r>
              <w:rPr>
                <w:rFonts w:ascii="Cambria Math" w:hAnsi="Cambria Math"/>
              </w:rPr>
              <m:t xml:space="preserve"> - </m:t>
            </m:r>
            <m:r>
              <w:rPr>
                <w:rFonts w:ascii="Cambria Math" w:hAnsi="Cambria Math"/>
              </w:rPr>
              <m:t>Blank</m:t>
            </m:r>
          </m:den>
        </m:f>
        <m:r>
          <w:rPr>
            <w:rFonts w:ascii="Cambria Math" w:hAnsi="Cambria Math"/>
          </w:rPr>
          <m:t xml:space="preserve">×100%    </m:t>
        </m:r>
        <m:r>
          <m:rPr>
            <m:sty m:val="bi"/>
          </m:rPr>
          <w:rPr>
            <w:rFonts w:ascii="Cambria Math" w:hAnsi="Cambria Math"/>
          </w:rPr>
          <m:t>[</m:t>
        </m:r>
        <m:r>
          <m:rPr>
            <m:sty m:val="bi"/>
          </m:rPr>
          <w:rPr>
            <w:rFonts w:ascii="Cambria Math" w:hAnsi="Cambria Math"/>
          </w:rPr>
          <m:t>Eq</m:t>
        </m:r>
        <m:r>
          <m:rPr>
            <m:sty m:val="bi"/>
          </m:rPr>
          <w:rPr>
            <w:rFonts w:ascii="Cambria Math" w:hAnsi="Cambria Math"/>
          </w:rPr>
          <m:t>. 1]</m:t>
        </m:r>
      </m:oMath>
      <w:r>
        <w:t xml:space="preserve"> </w:t>
      </w:r>
    </w:p>
    <w:p w14:paraId="613E47D7" w14:textId="77777777" w:rsidR="00C854EE" w:rsidRDefault="00C854EE">
      <w:pPr>
        <w:tabs>
          <w:tab w:val="left" w:pos="280"/>
        </w:tabs>
        <w:spacing w:after="120"/>
        <w:jc w:val="left"/>
      </w:pPr>
    </w:p>
    <w:p w14:paraId="2D56F2CA" w14:textId="77777777" w:rsidR="00C854EE" w:rsidRDefault="00E42C4E">
      <w:pPr>
        <w:tabs>
          <w:tab w:val="left" w:pos="280"/>
        </w:tabs>
        <w:spacing w:after="120"/>
        <w:jc w:val="left"/>
        <w:rPr>
          <w:b/>
        </w:rPr>
      </w:pPr>
      <w:r>
        <w:t xml:space="preserve">Here, </w:t>
      </w:r>
      <w:r>
        <w:rPr>
          <w:i/>
        </w:rPr>
        <w:t xml:space="preserve">Sample </w:t>
      </w:r>
      <w:r>
        <w:t xml:space="preserve">is the fluorescence reading of solutions collected from each well with different % alcohol treatment, </w:t>
      </w:r>
      <w:r>
        <w:rPr>
          <w:i/>
        </w:rPr>
        <w:t xml:space="preserve">Blank </w:t>
      </w:r>
      <w:r>
        <w:t xml:space="preserve">is the fluorescence reading of the blank buffer, and </w:t>
      </w:r>
      <w:r>
        <w:rPr>
          <w:i/>
        </w:rPr>
        <w:t xml:space="preserve">Lucifer Yellow </w:t>
      </w:r>
      <w:r>
        <w:t>is the fluorescence reading of 5 mg/ml lucifer yellow solution.</w:t>
      </w:r>
    </w:p>
    <w:p w14:paraId="7BACEBEC" w14:textId="77777777" w:rsidR="00C854EE" w:rsidRDefault="00E42C4E">
      <w:pPr>
        <w:pBdr>
          <w:top w:val="nil"/>
          <w:left w:val="nil"/>
          <w:bottom w:val="nil"/>
          <w:right w:val="nil"/>
          <w:between w:val="nil"/>
        </w:pBdr>
        <w:tabs>
          <w:tab w:val="left" w:pos="280"/>
        </w:tabs>
        <w:spacing w:after="120"/>
        <w:jc w:val="both"/>
      </w:pPr>
      <w:r>
        <w:rPr>
          <w:b/>
        </w:rPr>
        <w:t>To test p</w:t>
      </w:r>
      <w:r>
        <w:rPr>
          <w:b/>
        </w:rPr>
        <w:t xml:space="preserve">ermeability on alcohol-treated cells in order to model leaky gut:  </w:t>
      </w:r>
      <w:r>
        <w:t xml:space="preserve">Caco-2 cells were cultured into </w:t>
      </w:r>
      <w:proofErr w:type="spellStart"/>
      <w:r>
        <w:t>Transwell</w:t>
      </w:r>
      <w:proofErr w:type="spellEnd"/>
      <w:r>
        <w:t xml:space="preserve"> plates and allowed to differentiate for three weeks.  At 1,2, and 3 weeks half of the samples were treated with a 5% ethyl alcohol for 1 hour and t</w:t>
      </w:r>
      <w:r>
        <w:t>he Lucifer Yellow assay was performed to determine the integrity of the monolayer. This alcohol concentration was chosen from a previous study which found that 5% alcohol dilution was optimal to study epithelial cell degradation</w:t>
      </w:r>
      <w:r>
        <w:rPr>
          <w:vertAlign w:val="superscript"/>
        </w:rPr>
        <w:t>2</w:t>
      </w:r>
      <w:r>
        <w:t xml:space="preserve">. </w:t>
      </w:r>
    </w:p>
    <w:p w14:paraId="33E3B3F2" w14:textId="77777777" w:rsidR="00C854EE" w:rsidRDefault="00E42C4E">
      <w:pPr>
        <w:pStyle w:val="Heading1"/>
        <w:numPr>
          <w:ilvl w:val="0"/>
          <w:numId w:val="1"/>
        </w:numPr>
        <w:ind w:firstLine="0"/>
        <w:jc w:val="left"/>
      </w:pPr>
      <w:r>
        <w:t>Results &amp; Discussion</w:t>
      </w:r>
    </w:p>
    <w:p w14:paraId="417B2474" w14:textId="77777777" w:rsidR="00C854EE" w:rsidRDefault="00E42C4E">
      <w:pPr>
        <w:pBdr>
          <w:top w:val="nil"/>
          <w:left w:val="nil"/>
          <w:bottom w:val="nil"/>
          <w:right w:val="nil"/>
          <w:between w:val="nil"/>
        </w:pBdr>
        <w:tabs>
          <w:tab w:val="left" w:pos="280"/>
        </w:tabs>
        <w:spacing w:after="120"/>
        <w:jc w:val="both"/>
      </w:pPr>
      <w:r>
        <w:t>Ove</w:t>
      </w:r>
      <w:r>
        <w:t xml:space="preserve">r the three weeks, the tight junctions of the Caco-2 cells were clearly defined under the microscope </w:t>
      </w:r>
      <w:r>
        <w:rPr>
          <w:b/>
        </w:rPr>
        <w:t xml:space="preserve">(Figures 1a-c).  </w:t>
      </w:r>
      <w:r>
        <w:t xml:space="preserve">Our test indicated that 5% alcohol and 60 min is the best concentration and treatment interval in modeling leaky gut, which caused a high </w:t>
      </w:r>
      <w:r>
        <w:t>permeability of lucifer yellow but maintained cell viability at a high level</w:t>
      </w:r>
      <w:r>
        <w:rPr>
          <w:vertAlign w:val="superscript"/>
        </w:rPr>
        <w:t>3</w:t>
      </w:r>
      <w:r>
        <w:rPr>
          <w:b/>
        </w:rPr>
        <w:t>(Figure 2).</w:t>
      </w:r>
      <w:r>
        <w:t xml:space="preserve"> The permeability tests of control (Caco-2 cells cultured in 48-Transwell insert for 1,2 and 3 weeks without alcohol-treated) </w:t>
      </w:r>
      <w:r>
        <w:rPr>
          <w:b/>
        </w:rPr>
        <w:t xml:space="preserve">(Figure 3) </w:t>
      </w:r>
      <w:r>
        <w:t>supported these results</w:t>
      </w:r>
      <w:r>
        <w:rPr>
          <w:b/>
        </w:rPr>
        <w:t xml:space="preserve"> </w:t>
      </w:r>
      <w:r>
        <w:t>of ZO-1</w:t>
      </w:r>
      <w:r>
        <w:t xml:space="preserve"> staining (</w:t>
      </w:r>
      <w:r>
        <w:rPr>
          <w:b/>
        </w:rPr>
        <w:t>Figure 1</w:t>
      </w:r>
      <w:r>
        <w:t>)</w:t>
      </w:r>
      <w:r>
        <w:rPr>
          <w:b/>
        </w:rPr>
        <w:t xml:space="preserve">. </w:t>
      </w:r>
      <w:r>
        <w:t xml:space="preserve">The longer the cells were differentiated, the less permeable the </w:t>
      </w:r>
      <w:r>
        <w:lastRenderedPageBreak/>
        <w:t>cell monolayer was.  The alcohol did induce the monolayer to be more permeable in the early differentiation stage (1 and 2 weeks) which is the result that was anticipate</w:t>
      </w:r>
      <w:r>
        <w:t xml:space="preserve">d and needed to model leaky gut.   </w:t>
      </w:r>
    </w:p>
    <w:p w14:paraId="2C32524E" w14:textId="77777777" w:rsidR="00C854EE" w:rsidRDefault="00E42C4E">
      <w:pPr>
        <w:pBdr>
          <w:top w:val="nil"/>
          <w:left w:val="nil"/>
          <w:bottom w:val="nil"/>
          <w:right w:val="nil"/>
          <w:between w:val="nil"/>
        </w:pBdr>
        <w:tabs>
          <w:tab w:val="left" w:pos="280"/>
        </w:tabs>
        <w:jc w:val="both"/>
        <w:rPr>
          <w:sz w:val="16"/>
          <w:szCs w:val="16"/>
        </w:rPr>
      </w:pPr>
      <w:r>
        <w:rPr>
          <w:b/>
          <w:noProof/>
          <w:u w:val="single"/>
        </w:rPr>
        <w:drawing>
          <wp:inline distT="114300" distB="114300" distL="114300" distR="114300" wp14:anchorId="582C3E93" wp14:editId="34697208">
            <wp:extent cx="3209925" cy="876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09925" cy="876300"/>
                    </a:xfrm>
                    <a:prstGeom prst="rect">
                      <a:avLst/>
                    </a:prstGeom>
                    <a:ln/>
                  </pic:spPr>
                </pic:pic>
              </a:graphicData>
            </a:graphic>
          </wp:inline>
        </w:drawing>
      </w:r>
      <w:r>
        <w:rPr>
          <w:b/>
          <w:sz w:val="16"/>
          <w:szCs w:val="16"/>
        </w:rPr>
        <w:t xml:space="preserve">Figures 1a-c: </w:t>
      </w:r>
      <w:r>
        <w:rPr>
          <w:sz w:val="16"/>
          <w:szCs w:val="16"/>
        </w:rPr>
        <w:t xml:space="preserve">ZO-1 Immunostaining images of Caco-2 cells at 1, 2, and 3 weeks, respectively. </w:t>
      </w:r>
    </w:p>
    <w:p w14:paraId="218C3DD9" w14:textId="77777777" w:rsidR="00C854EE" w:rsidRDefault="00E42C4E">
      <w:pPr>
        <w:tabs>
          <w:tab w:val="left" w:pos="280"/>
        </w:tabs>
        <w:spacing w:after="120"/>
        <w:jc w:val="both"/>
      </w:pPr>
      <w:r>
        <w:rPr>
          <w:noProof/>
        </w:rPr>
        <w:drawing>
          <wp:inline distT="114300" distB="114300" distL="114300" distR="114300" wp14:anchorId="4C487492" wp14:editId="12ACF2D0">
            <wp:extent cx="3209925" cy="193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09925" cy="1930400"/>
                    </a:xfrm>
                    <a:prstGeom prst="rect">
                      <a:avLst/>
                    </a:prstGeom>
                    <a:ln/>
                  </pic:spPr>
                </pic:pic>
              </a:graphicData>
            </a:graphic>
          </wp:inline>
        </w:drawing>
      </w:r>
    </w:p>
    <w:p w14:paraId="1C2D7A90" w14:textId="77777777" w:rsidR="00C854EE" w:rsidRDefault="00E42C4E">
      <w:pPr>
        <w:tabs>
          <w:tab w:val="left" w:pos="280"/>
        </w:tabs>
        <w:spacing w:before="200"/>
        <w:jc w:val="both"/>
        <w:rPr>
          <w:u w:val="single"/>
        </w:rPr>
      </w:pPr>
      <w:r>
        <w:rPr>
          <w:b/>
          <w:sz w:val="16"/>
          <w:szCs w:val="16"/>
        </w:rPr>
        <w:t xml:space="preserve">Figure 2: </w:t>
      </w:r>
      <w:r>
        <w:rPr>
          <w:sz w:val="16"/>
          <w:szCs w:val="16"/>
        </w:rPr>
        <w:t>% Lucifer yellow passages from the apical chamber of 48-Transwell insert to bottom chamber. Caco-2 cells were cultured for 1 week.</w:t>
      </w:r>
      <w:r>
        <w:t xml:space="preserve"> </w:t>
      </w:r>
    </w:p>
    <w:p w14:paraId="17C399CB" w14:textId="77777777" w:rsidR="00C854EE" w:rsidRDefault="00C854EE">
      <w:pPr>
        <w:pBdr>
          <w:top w:val="nil"/>
          <w:left w:val="nil"/>
          <w:bottom w:val="nil"/>
          <w:right w:val="nil"/>
          <w:between w:val="nil"/>
        </w:pBdr>
        <w:tabs>
          <w:tab w:val="left" w:pos="280"/>
        </w:tabs>
        <w:spacing w:after="120"/>
        <w:jc w:val="left"/>
        <w:rPr>
          <w:b/>
          <w:u w:val="single"/>
        </w:rPr>
      </w:pPr>
    </w:p>
    <w:p w14:paraId="45EFAC0E" w14:textId="77777777" w:rsidR="00C854EE" w:rsidRDefault="00E42C4E">
      <w:pPr>
        <w:pBdr>
          <w:top w:val="nil"/>
          <w:left w:val="nil"/>
          <w:bottom w:val="nil"/>
          <w:right w:val="nil"/>
          <w:between w:val="nil"/>
        </w:pBdr>
        <w:tabs>
          <w:tab w:val="left" w:pos="280"/>
        </w:tabs>
        <w:spacing w:after="120"/>
        <w:jc w:val="left"/>
        <w:rPr>
          <w:b/>
          <w:u w:val="single"/>
        </w:rPr>
      </w:pPr>
      <w:r>
        <w:rPr>
          <w:b/>
          <w:noProof/>
          <w:u w:val="single"/>
        </w:rPr>
        <w:drawing>
          <wp:inline distT="114300" distB="114300" distL="114300" distR="114300" wp14:anchorId="0FEBCD03" wp14:editId="6424AF73">
            <wp:extent cx="3209925" cy="1993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09925" cy="1993900"/>
                    </a:xfrm>
                    <a:prstGeom prst="rect">
                      <a:avLst/>
                    </a:prstGeom>
                    <a:ln/>
                  </pic:spPr>
                </pic:pic>
              </a:graphicData>
            </a:graphic>
          </wp:inline>
        </w:drawing>
      </w:r>
    </w:p>
    <w:p w14:paraId="16A86E7A" w14:textId="77777777" w:rsidR="00C854EE" w:rsidRDefault="00E42C4E">
      <w:pPr>
        <w:pBdr>
          <w:top w:val="nil"/>
          <w:left w:val="nil"/>
          <w:bottom w:val="nil"/>
          <w:right w:val="nil"/>
          <w:between w:val="nil"/>
        </w:pBdr>
        <w:tabs>
          <w:tab w:val="left" w:pos="280"/>
        </w:tabs>
        <w:spacing w:after="120"/>
        <w:jc w:val="both"/>
        <w:rPr>
          <w:sz w:val="16"/>
          <w:szCs w:val="16"/>
        </w:rPr>
      </w:pPr>
      <w:r>
        <w:rPr>
          <w:b/>
          <w:sz w:val="16"/>
          <w:szCs w:val="16"/>
        </w:rPr>
        <w:t>Figure 3:</w:t>
      </w:r>
      <w:r>
        <w:rPr>
          <w:sz w:val="16"/>
          <w:szCs w:val="16"/>
        </w:rPr>
        <w:t xml:space="preserve"> Monolayer permeability determined from transport of Lucifer Yellow after alcohol treatment of 60 minutes and wi</w:t>
      </w:r>
      <w:r>
        <w:rPr>
          <w:sz w:val="16"/>
          <w:szCs w:val="16"/>
        </w:rPr>
        <w:t>thout alcohol treatment over 1, 2, and 3 weeks.  Data at 1 and 2 weeks were significant (p&lt;0.05).</w:t>
      </w:r>
    </w:p>
    <w:p w14:paraId="56A30C8B" w14:textId="77777777" w:rsidR="00C854EE" w:rsidRDefault="00C854EE">
      <w:pPr>
        <w:pBdr>
          <w:top w:val="nil"/>
          <w:left w:val="nil"/>
          <w:bottom w:val="nil"/>
          <w:right w:val="nil"/>
          <w:between w:val="nil"/>
        </w:pBdr>
        <w:tabs>
          <w:tab w:val="left" w:pos="280"/>
        </w:tabs>
        <w:spacing w:after="120"/>
        <w:jc w:val="left"/>
        <w:rPr>
          <w:sz w:val="16"/>
          <w:szCs w:val="16"/>
        </w:rPr>
      </w:pPr>
    </w:p>
    <w:p w14:paraId="4825229D" w14:textId="77777777" w:rsidR="00C854EE" w:rsidRDefault="00E42C4E">
      <w:pPr>
        <w:pStyle w:val="Heading1"/>
        <w:numPr>
          <w:ilvl w:val="0"/>
          <w:numId w:val="1"/>
        </w:numPr>
        <w:tabs>
          <w:tab w:val="left" w:pos="270"/>
        </w:tabs>
        <w:ind w:firstLine="0"/>
        <w:jc w:val="left"/>
      </w:pPr>
      <w:r>
        <w:t>Conclusion</w:t>
      </w:r>
    </w:p>
    <w:p w14:paraId="53ADAD03" w14:textId="77777777" w:rsidR="00C854EE" w:rsidRDefault="00E42C4E">
      <w:pPr>
        <w:pBdr>
          <w:top w:val="nil"/>
          <w:left w:val="nil"/>
          <w:bottom w:val="nil"/>
          <w:right w:val="nil"/>
          <w:between w:val="nil"/>
        </w:pBdr>
        <w:tabs>
          <w:tab w:val="left" w:pos="280"/>
        </w:tabs>
        <w:spacing w:after="120"/>
        <w:jc w:val="both"/>
      </w:pPr>
      <w:r>
        <w:t>With this research, Leaky Gut was modeled by treating the cells with alcohol.  Further alcohol cell exposure will be tested for longer periods of time and more frequently.  Caco-2 cell differentiation over three weeks in microfluidic devices will also be t</w:t>
      </w:r>
      <w:r>
        <w:t xml:space="preserve">ested.  These preliminary experiments will allow for alcohol exposure testing on the cells in the microfluidic devices. Once these preliminary experiments are done, testing will be </w:t>
      </w:r>
      <w:r>
        <w:t xml:space="preserve">done with therapeutic molecules to treat or reverse permeability in the </w:t>
      </w:r>
      <w:proofErr w:type="gramStart"/>
      <w:r>
        <w:t>mon</w:t>
      </w:r>
      <w:r>
        <w:t>olayer .</w:t>
      </w:r>
      <w:proofErr w:type="gramEnd"/>
    </w:p>
    <w:p w14:paraId="48D32CF9" w14:textId="77777777" w:rsidR="00C854EE" w:rsidRDefault="00E42C4E">
      <w:pPr>
        <w:pStyle w:val="Heading5"/>
        <w:jc w:val="left"/>
      </w:pPr>
      <w:bookmarkStart w:id="0" w:name="_30j0zll" w:colFirst="0" w:colLast="0"/>
      <w:bookmarkEnd w:id="0"/>
      <w:r>
        <w:t>Acknowledgments</w:t>
      </w:r>
    </w:p>
    <w:p w14:paraId="687120F9" w14:textId="77777777" w:rsidR="00C854EE" w:rsidRDefault="00E42C4E">
      <w:pPr>
        <w:tabs>
          <w:tab w:val="left" w:pos="280"/>
        </w:tabs>
        <w:spacing w:after="120"/>
        <w:jc w:val="left"/>
      </w:pPr>
      <w:r>
        <w:t xml:space="preserve">Thanks to the ACE Undergraduate Research Program for the support and funding to make this project possible. </w:t>
      </w:r>
    </w:p>
    <w:p w14:paraId="570AEC76" w14:textId="77777777" w:rsidR="00C854EE" w:rsidRDefault="00E42C4E">
      <w:pPr>
        <w:pStyle w:val="Heading5"/>
        <w:jc w:val="left"/>
      </w:pPr>
      <w:r>
        <w:t>References</w:t>
      </w:r>
    </w:p>
    <w:p w14:paraId="591E5C4F" w14:textId="77777777" w:rsidR="00C854EE" w:rsidRDefault="00E42C4E">
      <w:pPr>
        <w:spacing w:after="40"/>
        <w:jc w:val="left"/>
        <w:rPr>
          <w:color w:val="1155CC"/>
          <w:sz w:val="16"/>
          <w:szCs w:val="16"/>
          <w:u w:val="single"/>
        </w:rPr>
      </w:pPr>
      <w:r>
        <w:rPr>
          <w:sz w:val="16"/>
          <w:szCs w:val="16"/>
        </w:rPr>
        <w:t xml:space="preserve">[1] Liang, S., Wu, X., &amp; </w:t>
      </w:r>
      <w:proofErr w:type="spellStart"/>
      <w:r>
        <w:rPr>
          <w:sz w:val="16"/>
          <w:szCs w:val="16"/>
        </w:rPr>
        <w:t>Jin</w:t>
      </w:r>
      <w:proofErr w:type="spellEnd"/>
      <w:r>
        <w:rPr>
          <w:sz w:val="16"/>
          <w:szCs w:val="16"/>
        </w:rPr>
        <w:t xml:space="preserve">, F. (2018). Gut-Brain Psychology: Rethinking Psychology </w:t>
      </w:r>
      <w:proofErr w:type="gramStart"/>
      <w:r>
        <w:rPr>
          <w:sz w:val="16"/>
          <w:szCs w:val="16"/>
        </w:rPr>
        <w:t>From</w:t>
      </w:r>
      <w:proofErr w:type="gramEnd"/>
      <w:r>
        <w:rPr>
          <w:sz w:val="16"/>
          <w:szCs w:val="16"/>
        </w:rPr>
        <w:t xml:space="preserve"> the Microbiota–Gut–Br</w:t>
      </w:r>
      <w:r>
        <w:rPr>
          <w:sz w:val="16"/>
          <w:szCs w:val="16"/>
        </w:rPr>
        <w:t xml:space="preserve">ain Axis. </w:t>
      </w:r>
      <w:r>
        <w:rPr>
          <w:i/>
          <w:sz w:val="16"/>
          <w:szCs w:val="16"/>
        </w:rPr>
        <w:t>Frontiers in Integrative Neuroscience</w:t>
      </w:r>
      <w:r>
        <w:rPr>
          <w:sz w:val="16"/>
          <w:szCs w:val="16"/>
        </w:rPr>
        <w:t xml:space="preserve">, </w:t>
      </w:r>
      <w:r>
        <w:rPr>
          <w:i/>
          <w:sz w:val="16"/>
          <w:szCs w:val="16"/>
        </w:rPr>
        <w:t>12</w:t>
      </w:r>
      <w:r>
        <w:rPr>
          <w:sz w:val="16"/>
          <w:szCs w:val="16"/>
        </w:rPr>
        <w:t>.</w:t>
      </w:r>
      <w:hyperlink r:id="rId11">
        <w:r>
          <w:rPr>
            <w:sz w:val="16"/>
            <w:szCs w:val="16"/>
          </w:rPr>
          <w:t xml:space="preserve"> </w:t>
        </w:r>
      </w:hyperlink>
      <w:hyperlink r:id="rId12">
        <w:r>
          <w:rPr>
            <w:color w:val="1155CC"/>
            <w:sz w:val="16"/>
            <w:szCs w:val="16"/>
            <w:u w:val="single"/>
          </w:rPr>
          <w:t>https://doi.org/10.3389/fnint.2018.00033</w:t>
        </w:r>
      </w:hyperlink>
    </w:p>
    <w:p w14:paraId="7CC81CAF" w14:textId="77777777" w:rsidR="00C854EE" w:rsidRDefault="00C854EE">
      <w:pPr>
        <w:spacing w:after="40"/>
        <w:jc w:val="left"/>
        <w:rPr>
          <w:sz w:val="16"/>
          <w:szCs w:val="16"/>
        </w:rPr>
      </w:pPr>
    </w:p>
    <w:p w14:paraId="24016B8C" w14:textId="77777777" w:rsidR="00C854EE" w:rsidRDefault="00E42C4E">
      <w:pPr>
        <w:spacing w:after="40"/>
        <w:jc w:val="left"/>
        <w:rPr>
          <w:color w:val="1155CC"/>
          <w:sz w:val="16"/>
          <w:szCs w:val="16"/>
          <w:u w:val="single"/>
        </w:rPr>
      </w:pPr>
      <w:r>
        <w:rPr>
          <w:sz w:val="16"/>
          <w:szCs w:val="16"/>
        </w:rPr>
        <w:t xml:space="preserve">[2] </w:t>
      </w:r>
      <w:r>
        <w:rPr>
          <w:i/>
          <w:sz w:val="16"/>
          <w:szCs w:val="16"/>
        </w:rPr>
        <w:t>Mtox1002pc24bul.pdf</w:t>
      </w:r>
      <w:r>
        <w:rPr>
          <w:sz w:val="16"/>
          <w:szCs w:val="16"/>
        </w:rPr>
        <w:t>. (n.d.). Retrieved June 18, 2020, from</w:t>
      </w:r>
      <w:hyperlink r:id="rId13">
        <w:r>
          <w:rPr>
            <w:sz w:val="16"/>
            <w:szCs w:val="16"/>
          </w:rPr>
          <w:t xml:space="preserve"> </w:t>
        </w:r>
      </w:hyperlink>
      <w:hyperlink r:id="rId14">
        <w:r>
          <w:rPr>
            <w:color w:val="1155CC"/>
            <w:sz w:val="16"/>
            <w:szCs w:val="16"/>
            <w:u w:val="single"/>
          </w:rPr>
          <w:t>https://www.sigmaaldrich.com/content/dam/sigma-aldrich/docs/Sigma/Bulletin/1/mtox1002pc24bul.pdf</w:t>
        </w:r>
      </w:hyperlink>
    </w:p>
    <w:p w14:paraId="6587AB01" w14:textId="77777777" w:rsidR="00C854EE" w:rsidRDefault="00C854EE">
      <w:pPr>
        <w:spacing w:after="40"/>
        <w:jc w:val="left"/>
        <w:rPr>
          <w:sz w:val="16"/>
          <w:szCs w:val="16"/>
        </w:rPr>
      </w:pPr>
    </w:p>
    <w:p w14:paraId="20B83AB4" w14:textId="77777777" w:rsidR="00C854EE" w:rsidRDefault="00E42C4E">
      <w:pPr>
        <w:spacing w:after="40"/>
        <w:jc w:val="left"/>
        <w:rPr>
          <w:color w:val="1155CC"/>
          <w:sz w:val="16"/>
          <w:szCs w:val="16"/>
          <w:u w:val="single"/>
        </w:rPr>
      </w:pPr>
      <w:r>
        <w:rPr>
          <w:sz w:val="16"/>
          <w:szCs w:val="16"/>
        </w:rPr>
        <w:t>[3] Wang, Y., Tong, J., Chang, B., Wang, B., Zhang, D., &amp; Wang, B. (2014). Effects of alcohol on intestinal epithelial barr</w:t>
      </w:r>
      <w:r>
        <w:rPr>
          <w:sz w:val="16"/>
          <w:szCs w:val="16"/>
        </w:rPr>
        <w:t xml:space="preserve">ier permeability and expression of tight junction‑associated proteins. </w:t>
      </w:r>
      <w:r>
        <w:rPr>
          <w:i/>
          <w:sz w:val="16"/>
          <w:szCs w:val="16"/>
        </w:rPr>
        <w:t>Molecular Medicine Reports</w:t>
      </w:r>
      <w:r>
        <w:rPr>
          <w:sz w:val="16"/>
          <w:szCs w:val="16"/>
        </w:rPr>
        <w:t xml:space="preserve">, </w:t>
      </w:r>
      <w:r>
        <w:rPr>
          <w:i/>
          <w:sz w:val="16"/>
          <w:szCs w:val="16"/>
        </w:rPr>
        <w:t>9</w:t>
      </w:r>
      <w:r>
        <w:rPr>
          <w:sz w:val="16"/>
          <w:szCs w:val="16"/>
        </w:rPr>
        <w:t>(6), 2352–2356.</w:t>
      </w:r>
      <w:hyperlink r:id="rId15">
        <w:r>
          <w:rPr>
            <w:sz w:val="16"/>
            <w:szCs w:val="16"/>
          </w:rPr>
          <w:t xml:space="preserve"> </w:t>
        </w:r>
      </w:hyperlink>
      <w:hyperlink r:id="rId16">
        <w:r>
          <w:rPr>
            <w:color w:val="1155CC"/>
            <w:sz w:val="16"/>
            <w:szCs w:val="16"/>
            <w:u w:val="single"/>
          </w:rPr>
          <w:t>https://doi.org/10.3892/mm</w:t>
        </w:r>
        <w:r>
          <w:rPr>
            <w:color w:val="1155CC"/>
            <w:sz w:val="16"/>
            <w:szCs w:val="16"/>
            <w:u w:val="single"/>
          </w:rPr>
          <w:t>r.2014.2126</w:t>
        </w:r>
      </w:hyperlink>
    </w:p>
    <w:p w14:paraId="56B0D019" w14:textId="77777777" w:rsidR="00C854EE" w:rsidRDefault="00C854EE">
      <w:pPr>
        <w:pBdr>
          <w:top w:val="nil"/>
          <w:left w:val="nil"/>
          <w:bottom w:val="nil"/>
          <w:right w:val="nil"/>
          <w:between w:val="nil"/>
        </w:pBdr>
        <w:spacing w:after="40"/>
        <w:ind w:left="720"/>
        <w:jc w:val="left"/>
        <w:rPr>
          <w:sz w:val="16"/>
          <w:szCs w:val="16"/>
        </w:rPr>
      </w:pPr>
    </w:p>
    <w:sectPr w:rsidR="00C854EE" w:rsidSect="0036553C">
      <w:type w:val="continuous"/>
      <w:pgSz w:w="12240" w:h="15840"/>
      <w:pgMar w:top="1080" w:right="878" w:bottom="1440" w:left="878" w:header="0" w:footer="0" w:gutter="0"/>
      <w:cols w:num="2" w:space="720" w:equalWidth="0">
        <w:col w:w="5062" w:space="360"/>
        <w:col w:w="5062" w:space="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E96D4" w14:textId="77777777" w:rsidR="00E42C4E" w:rsidRDefault="00E42C4E">
      <w:r>
        <w:separator/>
      </w:r>
    </w:p>
  </w:endnote>
  <w:endnote w:type="continuationSeparator" w:id="0">
    <w:p w14:paraId="45CEA9EE" w14:textId="77777777" w:rsidR="00E42C4E" w:rsidRDefault="00E4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BB9F" w14:textId="77777777" w:rsidR="00C854EE" w:rsidRDefault="00C854E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B627" w14:textId="77777777" w:rsidR="00E42C4E" w:rsidRDefault="00E42C4E">
      <w:r>
        <w:separator/>
      </w:r>
    </w:p>
  </w:footnote>
  <w:footnote w:type="continuationSeparator" w:id="0">
    <w:p w14:paraId="51EBF2DA" w14:textId="77777777" w:rsidR="00E42C4E" w:rsidRDefault="00E4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7C81"/>
    <w:multiLevelType w:val="multilevel"/>
    <w:tmpl w:val="75E075B0"/>
    <w:lvl w:ilvl="0">
      <w:start w:val="1"/>
      <w:numFmt w:val="upperRoman"/>
      <w:lvlText w:val="%1."/>
      <w:lvlJc w:val="center"/>
      <w:pPr>
        <w:ind w:left="0" w:firstLine="200"/>
      </w:pPr>
      <w:rPr>
        <w:smallCaps w:val="0"/>
        <w:strike w:val="0"/>
        <w:color w:val="00000A"/>
        <w:sz w:val="20"/>
        <w:szCs w:val="20"/>
        <w:vertAlign w:val="baseline"/>
      </w:rPr>
    </w:lvl>
    <w:lvl w:ilvl="1">
      <w:start w:val="1"/>
      <w:numFmt w:val="upperLetter"/>
      <w:lvlText w:val="%2."/>
      <w:lvlJc w:val="left"/>
      <w:pPr>
        <w:ind w:left="360" w:hanging="280"/>
      </w:pPr>
      <w:rPr>
        <w:b w:val="0"/>
        <w:i/>
        <w:smallCaps w:val="0"/>
        <w:strike w:val="0"/>
        <w:color w:val="00000A"/>
        <w:sz w:val="20"/>
        <w:szCs w:val="20"/>
        <w:vertAlign w:val="baseline"/>
      </w:rPr>
    </w:lvl>
    <w:lvl w:ilvl="2">
      <w:start w:val="1"/>
      <w:numFmt w:val="decimal"/>
      <w:lvlText w:val="%3)"/>
      <w:lvlJc w:val="left"/>
      <w:pPr>
        <w:ind w:left="720" w:firstLine="180"/>
      </w:pPr>
      <w:rPr>
        <w:b w:val="0"/>
        <w:i/>
        <w:smallCaps w:val="0"/>
        <w:strike w:val="0"/>
        <w:color w:val="00000A"/>
        <w:sz w:val="20"/>
        <w:szCs w:val="20"/>
        <w:vertAlign w:val="baseline"/>
      </w:rPr>
    </w:lvl>
    <w:lvl w:ilvl="3">
      <w:start w:val="1"/>
      <w:numFmt w:val="lowerLetter"/>
      <w:lvlText w:val="%4)"/>
      <w:lvlJc w:val="left"/>
      <w:pPr>
        <w:ind w:left="1080" w:firstLine="360"/>
      </w:pPr>
      <w:rPr>
        <w:b w:val="0"/>
        <w:i/>
        <w:sz w:val="20"/>
        <w:szCs w:val="20"/>
      </w:rPr>
    </w:lvl>
    <w:lvl w:ilvl="4">
      <w:start w:val="1"/>
      <w:numFmt w:val="decimal"/>
      <w:lvlText w:val=""/>
      <w:lvlJc w:val="left"/>
      <w:pPr>
        <w:ind w:left="1440" w:hanging="360"/>
      </w:pPr>
    </w:lvl>
    <w:lvl w:ilvl="5">
      <w:start w:val="1"/>
      <w:numFmt w:val="lowerLetter"/>
      <w:lvlText w:val="(%6)"/>
      <w:lvlJc w:val="left"/>
      <w:pPr>
        <w:ind w:left="1800" w:hanging="360"/>
      </w:pPr>
    </w:lvl>
    <w:lvl w:ilvl="6">
      <w:start w:val="1"/>
      <w:numFmt w:val="lowerRoman"/>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EE"/>
    <w:rsid w:val="0036553C"/>
    <w:rsid w:val="00C854EE"/>
    <w:rsid w:val="00E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C534F"/>
  <w15:docId w15:val="{8FB597D5-4708-0C4A-802A-D99B060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00"/>
      </w:tabs>
      <w:spacing w:before="160" w:after="80"/>
      <w:outlineLvl w:val="0"/>
    </w:pPr>
    <w:rPr>
      <w:smallCaps/>
    </w:rPr>
  </w:style>
  <w:style w:type="paragraph" w:styleId="Heading2">
    <w:name w:val="heading 2"/>
    <w:basedOn w:val="Normal"/>
    <w:next w:val="Normal"/>
    <w:uiPriority w:val="9"/>
    <w:unhideWhenUsed/>
    <w:qFormat/>
    <w:pPr>
      <w:keepNext/>
      <w:keepLines/>
      <w:tabs>
        <w:tab w:val="left" w:pos="280"/>
      </w:tabs>
      <w:spacing w:before="120" w:after="60"/>
      <w:ind w:hanging="280"/>
      <w:jc w:val="left"/>
      <w:outlineLvl w:val="1"/>
    </w:pPr>
    <w:rPr>
      <w:i/>
    </w:rPr>
  </w:style>
  <w:style w:type="paragraph" w:styleId="Heading3">
    <w:name w:val="heading 3"/>
    <w:basedOn w:val="Normal"/>
    <w:next w:val="Normal"/>
    <w:uiPriority w:val="9"/>
    <w:unhideWhenUsed/>
    <w:qFormat/>
    <w:pPr>
      <w:ind w:firstLine="280"/>
      <w:jc w:val="both"/>
      <w:outlineLvl w:val="2"/>
    </w:pPr>
    <w:rPr>
      <w:i/>
    </w:rPr>
  </w:style>
  <w:style w:type="paragraph" w:styleId="Heading4">
    <w:name w:val="heading 4"/>
    <w:basedOn w:val="Normal"/>
    <w:next w:val="Normal"/>
    <w:uiPriority w:val="9"/>
    <w:unhideWhenUsed/>
    <w:qFormat/>
    <w:pPr>
      <w:tabs>
        <w:tab w:val="left" w:pos="720"/>
      </w:tabs>
      <w:spacing w:before="40" w:after="40"/>
      <w:ind w:firstLine="500"/>
      <w:jc w:val="both"/>
      <w:outlineLvl w:val="3"/>
    </w:pPr>
    <w:rPr>
      <w:i/>
    </w:rPr>
  </w:style>
  <w:style w:type="paragraph" w:styleId="Heading5">
    <w:name w:val="heading 5"/>
    <w:basedOn w:val="Normal"/>
    <w:next w:val="Normal"/>
    <w:uiPriority w:val="9"/>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spacing w:before="240" w:after="120"/>
      <w:outlineLvl w:val="5"/>
    </w:pPr>
    <w:rPr>
      <w:rFonts w:ascii="Liberation Sans" w:eastAsia="Liberation Sans" w:hAnsi="Liberation Sans" w:cs="Liberation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gmaaldrich.com/content/dam/sigma-aldrich/docs/Sigma/Bulletin/1/mtox1002pc24bu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3389/fnint.2018.000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892/mmr.2014.21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nint.2018.00033" TargetMode="External"/><Relationship Id="rId5" Type="http://schemas.openxmlformats.org/officeDocument/2006/relationships/footnotes" Target="footnotes.xml"/><Relationship Id="rId15" Type="http://schemas.openxmlformats.org/officeDocument/2006/relationships/hyperlink" Target="https://doi.org/10.3892/mmr.2014.212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igmaaldrich.com/content/dam/sigma-aldrich/docs/Sigma/Bulletin/1/mtox1002pc24bu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Fitzgerald, Maya</cp:lastModifiedBy>
  <cp:revision>2</cp:revision>
  <dcterms:created xsi:type="dcterms:W3CDTF">2020-06-24T03:29:00Z</dcterms:created>
  <dcterms:modified xsi:type="dcterms:W3CDTF">2020-06-24T03:31:00Z</dcterms:modified>
</cp:coreProperties>
</file>